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8BC" w:rsidRPr="00F038BC" w:rsidRDefault="00F038BC" w:rsidP="00F038BC">
      <w:pPr>
        <w:widowControl/>
        <w:shd w:val="clear" w:color="auto" w:fill="FFFFFF"/>
        <w:spacing w:line="75" w:lineRule="atLeast"/>
        <w:ind w:firstLineChars="200" w:firstLine="361"/>
        <w:jc w:val="left"/>
        <w:rPr>
          <w:rFonts w:ascii="宋体" w:eastAsia="宋体" w:hAnsi="宋体" w:cs="宋体"/>
          <w:kern w:val="0"/>
          <w:sz w:val="24"/>
          <w:szCs w:val="24"/>
        </w:rPr>
      </w:pPr>
      <w:r w:rsidRPr="00F038BC">
        <w:rPr>
          <w:rFonts w:ascii="宋体" w:eastAsia="宋体" w:hAnsi="宋体" w:cs="Lucida Sans Unicode" w:hint="eastAsia"/>
          <w:b/>
          <w:bCs/>
          <w:sz w:val="18"/>
          <w:szCs w:val="18"/>
        </w:rPr>
        <w:t>【事项名称】</w:t>
      </w:r>
      <w:r w:rsidRPr="00F038BC">
        <w:rPr>
          <w:rFonts w:ascii="宋体" w:eastAsia="宋体" w:hAnsi="宋体" w:cs="Lucida Sans Unicode" w:hint="eastAsia"/>
          <w:sz w:val="18"/>
          <w:szCs w:val="18"/>
        </w:rPr>
        <w:t>同期资料报告</w:t>
      </w:r>
    </w:p>
    <w:p w:rsidR="00F038BC" w:rsidRPr="00F038BC" w:rsidRDefault="00F038BC" w:rsidP="00F038BC">
      <w:pPr>
        <w:widowControl/>
        <w:shd w:val="clear" w:color="auto" w:fill="FFFFFF"/>
        <w:spacing w:line="75" w:lineRule="atLeast"/>
        <w:ind w:firstLineChars="200" w:firstLine="361"/>
        <w:jc w:val="left"/>
        <w:rPr>
          <w:rFonts w:ascii="宋体" w:eastAsia="宋体" w:hAnsi="宋体" w:cs="宋体"/>
          <w:kern w:val="0"/>
          <w:sz w:val="24"/>
          <w:szCs w:val="24"/>
        </w:rPr>
      </w:pPr>
      <w:r w:rsidRPr="00F038BC">
        <w:rPr>
          <w:rFonts w:ascii="宋体" w:eastAsia="宋体" w:hAnsi="宋体" w:cs="Lucida Sans Unicode" w:hint="eastAsia"/>
          <w:b/>
          <w:bCs/>
          <w:sz w:val="18"/>
          <w:szCs w:val="18"/>
        </w:rPr>
        <w:t>【事项描述】</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符合条件的企业，应当按纳税年度准备并按税务机关要求提供其关联交易的同期资料。同期资料包括主体文档、本地文档和特殊事项文档。</w:t>
      </w:r>
    </w:p>
    <w:p w:rsidR="00F038BC" w:rsidRPr="00F038BC" w:rsidRDefault="00F038BC" w:rsidP="00F038BC">
      <w:pPr>
        <w:widowControl/>
        <w:shd w:val="clear" w:color="auto" w:fill="FFFFFF"/>
        <w:spacing w:line="75" w:lineRule="atLeast"/>
        <w:ind w:firstLineChars="200" w:firstLine="361"/>
        <w:jc w:val="left"/>
        <w:rPr>
          <w:rFonts w:ascii="宋体" w:eastAsia="宋体" w:hAnsi="宋体" w:cs="宋体"/>
          <w:kern w:val="0"/>
          <w:sz w:val="24"/>
          <w:szCs w:val="24"/>
        </w:rPr>
      </w:pPr>
      <w:r w:rsidRPr="00F038BC">
        <w:rPr>
          <w:rFonts w:ascii="宋体" w:eastAsia="宋体" w:hAnsi="宋体" w:cs="Lucida Sans Unicode" w:hint="eastAsia"/>
          <w:b/>
          <w:bCs/>
          <w:sz w:val="18"/>
          <w:szCs w:val="18"/>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7"/>
        <w:gridCol w:w="30"/>
        <w:gridCol w:w="3180"/>
        <w:gridCol w:w="1214"/>
        <w:gridCol w:w="81"/>
        <w:gridCol w:w="1681"/>
      </w:tblGrid>
      <w:tr w:rsidR="00F038BC" w:rsidRPr="00F038BC" w:rsidTr="00F038BC">
        <w:trPr>
          <w:trHeight w:val="809"/>
          <w:jc w:val="center"/>
        </w:trPr>
        <w:tc>
          <w:tcPr>
            <w:tcW w:w="174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宋体" w:hint="eastAsia"/>
                <w:kern w:val="24"/>
                <w:sz w:val="18"/>
                <w:szCs w:val="18"/>
              </w:rPr>
              <w:t>情形</w:t>
            </w:r>
          </w:p>
        </w:tc>
        <w:tc>
          <w:tcPr>
            <w:tcW w:w="3210" w:type="dxa"/>
            <w:gridSpan w:val="2"/>
            <w:tcBorders>
              <w:top w:val="single" w:sz="4" w:space="0" w:color="auto"/>
              <w:left w:val="nil"/>
              <w:bottom w:val="single" w:sz="4" w:space="0" w:color="auto"/>
              <w:right w:val="single" w:sz="4" w:space="0" w:color="auto"/>
            </w:tcBorders>
            <w:shd w:val="clear" w:color="auto" w:fill="D9D9D9"/>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宋体" w:hint="eastAsia"/>
                <w:kern w:val="24"/>
                <w:sz w:val="18"/>
                <w:szCs w:val="18"/>
              </w:rPr>
              <w:t>材料名称</w:t>
            </w:r>
          </w:p>
        </w:tc>
        <w:tc>
          <w:tcPr>
            <w:tcW w:w="1295" w:type="dxa"/>
            <w:gridSpan w:val="2"/>
            <w:tcBorders>
              <w:top w:val="single" w:sz="4" w:space="0" w:color="auto"/>
              <w:left w:val="nil"/>
              <w:bottom w:val="single" w:sz="4" w:space="0" w:color="auto"/>
              <w:right w:val="single" w:sz="4" w:space="0" w:color="auto"/>
            </w:tcBorders>
            <w:shd w:val="clear" w:color="auto" w:fill="D9D9D9"/>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宋体" w:hint="eastAsia"/>
                <w:kern w:val="24"/>
                <w:sz w:val="18"/>
                <w:szCs w:val="18"/>
              </w:rPr>
              <w:t>数量</w:t>
            </w:r>
          </w:p>
        </w:tc>
        <w:tc>
          <w:tcPr>
            <w:tcW w:w="1681" w:type="dxa"/>
            <w:tcBorders>
              <w:top w:val="single" w:sz="4" w:space="0" w:color="auto"/>
              <w:left w:val="nil"/>
              <w:bottom w:val="single" w:sz="4" w:space="0" w:color="auto"/>
              <w:right w:val="single" w:sz="4" w:space="0" w:color="auto"/>
            </w:tcBorders>
            <w:shd w:val="clear" w:color="auto" w:fill="D9D9D9"/>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宋体" w:hint="eastAsia"/>
                <w:kern w:val="24"/>
                <w:sz w:val="18"/>
                <w:szCs w:val="18"/>
              </w:rPr>
              <w:t>备注</w:t>
            </w:r>
          </w:p>
        </w:tc>
      </w:tr>
      <w:tr w:rsidR="00F038BC" w:rsidRPr="00F038BC" w:rsidTr="00F038BC">
        <w:trPr>
          <w:trHeight w:val="641"/>
          <w:jc w:val="center"/>
        </w:trPr>
        <w:tc>
          <w:tcPr>
            <w:tcW w:w="7933" w:type="dxa"/>
            <w:gridSpan w:val="6"/>
            <w:tcBorders>
              <w:top w:val="single" w:sz="4" w:space="0" w:color="auto"/>
              <w:left w:val="single" w:sz="4" w:space="0" w:color="auto"/>
              <w:bottom w:val="single" w:sz="4" w:space="0" w:color="auto"/>
              <w:right w:val="single" w:sz="4" w:space="0" w:color="auto"/>
            </w:tcBorders>
            <w:shd w:val="clear" w:color="auto" w:fill="D8D8D8"/>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宋体" w:hint="eastAsia"/>
                <w:kern w:val="24"/>
                <w:sz w:val="18"/>
                <w:szCs w:val="18"/>
              </w:rPr>
              <w:t>以下为条件报送资料</w:t>
            </w:r>
          </w:p>
        </w:tc>
      </w:tr>
      <w:tr w:rsidR="00F038BC" w:rsidRPr="00F038BC" w:rsidTr="00F038BC">
        <w:trPr>
          <w:trHeight w:val="925"/>
          <w:jc w:val="center"/>
        </w:trPr>
        <w:tc>
          <w:tcPr>
            <w:tcW w:w="1777" w:type="dxa"/>
            <w:gridSpan w:val="2"/>
            <w:tcBorders>
              <w:top w:val="single" w:sz="4" w:space="0" w:color="auto"/>
              <w:left w:val="single" w:sz="4" w:space="0" w:color="auto"/>
              <w:bottom w:val="single" w:sz="4" w:space="0" w:color="auto"/>
              <w:right w:val="single" w:sz="4" w:space="0" w:color="auto"/>
            </w:tcBorders>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Microsoft Himalaya" w:hint="eastAsia"/>
                <w:kern w:val="24"/>
                <w:sz w:val="18"/>
                <w:szCs w:val="18"/>
              </w:rPr>
              <w:t>符合主体文档准备条件</w:t>
            </w:r>
          </w:p>
        </w:tc>
        <w:tc>
          <w:tcPr>
            <w:tcW w:w="3180" w:type="dxa"/>
            <w:tcBorders>
              <w:top w:val="single" w:sz="4" w:space="0" w:color="auto"/>
              <w:left w:val="nil"/>
              <w:bottom w:val="single" w:sz="4" w:space="0" w:color="auto"/>
              <w:right w:val="single" w:sz="4" w:space="0" w:color="auto"/>
            </w:tcBorders>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Microsoft Himalaya" w:hint="eastAsia"/>
                <w:kern w:val="24"/>
                <w:sz w:val="18"/>
                <w:szCs w:val="18"/>
              </w:rPr>
              <w:t>主体文档</w:t>
            </w:r>
          </w:p>
        </w:tc>
        <w:tc>
          <w:tcPr>
            <w:tcW w:w="1214" w:type="dxa"/>
            <w:tcBorders>
              <w:top w:val="single" w:sz="4" w:space="0" w:color="auto"/>
              <w:left w:val="nil"/>
              <w:bottom w:val="single" w:sz="4" w:space="0" w:color="auto"/>
              <w:right w:val="single" w:sz="4" w:space="0" w:color="auto"/>
            </w:tcBorders>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Microsoft Himalaya" w:hint="eastAsia"/>
                <w:kern w:val="24"/>
                <w:sz w:val="18"/>
                <w:szCs w:val="18"/>
              </w:rPr>
              <w:t>1份</w:t>
            </w:r>
          </w:p>
        </w:tc>
        <w:tc>
          <w:tcPr>
            <w:tcW w:w="1762" w:type="dxa"/>
            <w:gridSpan w:val="2"/>
            <w:tcBorders>
              <w:top w:val="single" w:sz="4" w:space="0" w:color="auto"/>
              <w:left w:val="nil"/>
              <w:bottom w:val="single" w:sz="4" w:space="0" w:color="auto"/>
              <w:right w:val="single" w:sz="4" w:space="0" w:color="auto"/>
            </w:tcBorders>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Microsoft Himalaya" w:hint="eastAsia"/>
                <w:kern w:val="24"/>
                <w:sz w:val="18"/>
                <w:szCs w:val="18"/>
              </w:rPr>
              <w:t> </w:t>
            </w:r>
          </w:p>
        </w:tc>
      </w:tr>
      <w:tr w:rsidR="00F038BC" w:rsidRPr="00F038BC" w:rsidTr="00F038BC">
        <w:trPr>
          <w:trHeight w:val="906"/>
          <w:jc w:val="center"/>
        </w:trPr>
        <w:tc>
          <w:tcPr>
            <w:tcW w:w="1777" w:type="dxa"/>
            <w:gridSpan w:val="2"/>
            <w:tcBorders>
              <w:top w:val="single" w:sz="4" w:space="0" w:color="auto"/>
              <w:left w:val="single" w:sz="4" w:space="0" w:color="auto"/>
              <w:bottom w:val="single" w:sz="4" w:space="0" w:color="auto"/>
              <w:right w:val="single" w:sz="4" w:space="0" w:color="auto"/>
            </w:tcBorders>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Microsoft Himalaya" w:hint="eastAsia"/>
                <w:kern w:val="24"/>
                <w:sz w:val="18"/>
                <w:szCs w:val="18"/>
              </w:rPr>
              <w:t>符合本地文档准备条件</w:t>
            </w:r>
          </w:p>
        </w:tc>
        <w:tc>
          <w:tcPr>
            <w:tcW w:w="3180" w:type="dxa"/>
            <w:tcBorders>
              <w:top w:val="single" w:sz="4" w:space="0" w:color="auto"/>
              <w:left w:val="nil"/>
              <w:bottom w:val="single" w:sz="4" w:space="0" w:color="auto"/>
              <w:right w:val="single" w:sz="4" w:space="0" w:color="auto"/>
            </w:tcBorders>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Microsoft Himalaya" w:hint="eastAsia"/>
                <w:kern w:val="24"/>
                <w:sz w:val="18"/>
                <w:szCs w:val="18"/>
              </w:rPr>
              <w:t>本地文档</w:t>
            </w:r>
          </w:p>
        </w:tc>
        <w:tc>
          <w:tcPr>
            <w:tcW w:w="1214" w:type="dxa"/>
            <w:tcBorders>
              <w:top w:val="single" w:sz="4" w:space="0" w:color="auto"/>
              <w:left w:val="nil"/>
              <w:bottom w:val="single" w:sz="4" w:space="0" w:color="auto"/>
              <w:right w:val="single" w:sz="4" w:space="0" w:color="auto"/>
            </w:tcBorders>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Microsoft Himalaya" w:hint="eastAsia"/>
                <w:kern w:val="24"/>
                <w:sz w:val="18"/>
                <w:szCs w:val="18"/>
              </w:rPr>
              <w:t>1份</w:t>
            </w:r>
          </w:p>
        </w:tc>
        <w:tc>
          <w:tcPr>
            <w:tcW w:w="1762" w:type="dxa"/>
            <w:gridSpan w:val="2"/>
            <w:tcBorders>
              <w:top w:val="single" w:sz="4" w:space="0" w:color="auto"/>
              <w:left w:val="nil"/>
              <w:bottom w:val="single" w:sz="4" w:space="0" w:color="auto"/>
              <w:right w:val="single" w:sz="4" w:space="0" w:color="auto"/>
            </w:tcBorders>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宋体" w:eastAsia="宋体" w:hAnsi="宋体" w:cs="宋体" w:hint="eastAsia"/>
                <w:kern w:val="24"/>
                <w:sz w:val="18"/>
                <w:szCs w:val="18"/>
              </w:rPr>
              <w:t> </w:t>
            </w:r>
          </w:p>
        </w:tc>
      </w:tr>
      <w:tr w:rsidR="00F038BC" w:rsidRPr="00F038BC" w:rsidTr="00F038BC">
        <w:trPr>
          <w:trHeight w:val="930"/>
          <w:jc w:val="center"/>
        </w:trPr>
        <w:tc>
          <w:tcPr>
            <w:tcW w:w="1777" w:type="dxa"/>
            <w:gridSpan w:val="2"/>
            <w:tcBorders>
              <w:top w:val="single" w:sz="4" w:space="0" w:color="auto"/>
              <w:left w:val="single" w:sz="4" w:space="0" w:color="auto"/>
              <w:bottom w:val="single" w:sz="4" w:space="0" w:color="auto"/>
              <w:right w:val="single" w:sz="4" w:space="0" w:color="auto"/>
            </w:tcBorders>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Microsoft Himalaya" w:hint="eastAsia"/>
                <w:kern w:val="24"/>
                <w:sz w:val="18"/>
                <w:szCs w:val="18"/>
              </w:rPr>
              <w:t>符合特殊事项文档准备条件</w:t>
            </w:r>
          </w:p>
        </w:tc>
        <w:tc>
          <w:tcPr>
            <w:tcW w:w="3180" w:type="dxa"/>
            <w:tcBorders>
              <w:top w:val="single" w:sz="4" w:space="0" w:color="auto"/>
              <w:left w:val="nil"/>
              <w:bottom w:val="single" w:sz="4" w:space="0" w:color="auto"/>
              <w:right w:val="single" w:sz="4" w:space="0" w:color="auto"/>
            </w:tcBorders>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Microsoft Himalaya" w:hint="eastAsia"/>
                <w:kern w:val="24"/>
                <w:sz w:val="18"/>
                <w:szCs w:val="18"/>
              </w:rPr>
              <w:t>特殊事项文档</w:t>
            </w:r>
          </w:p>
        </w:tc>
        <w:tc>
          <w:tcPr>
            <w:tcW w:w="1214" w:type="dxa"/>
            <w:tcBorders>
              <w:top w:val="single" w:sz="4" w:space="0" w:color="auto"/>
              <w:left w:val="nil"/>
              <w:bottom w:val="single" w:sz="4" w:space="0" w:color="auto"/>
              <w:right w:val="single" w:sz="4" w:space="0" w:color="auto"/>
            </w:tcBorders>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Microsoft Himalaya" w:hint="eastAsia"/>
                <w:kern w:val="24"/>
                <w:sz w:val="18"/>
                <w:szCs w:val="18"/>
              </w:rPr>
              <w:t>1份</w:t>
            </w:r>
          </w:p>
        </w:tc>
        <w:tc>
          <w:tcPr>
            <w:tcW w:w="1762" w:type="dxa"/>
            <w:gridSpan w:val="2"/>
            <w:tcBorders>
              <w:top w:val="single" w:sz="4" w:space="0" w:color="auto"/>
              <w:left w:val="nil"/>
              <w:bottom w:val="single" w:sz="4" w:space="0" w:color="auto"/>
              <w:right w:val="single" w:sz="4" w:space="0" w:color="auto"/>
            </w:tcBorders>
            <w:vAlign w:val="center"/>
            <w:hideMark/>
          </w:tcPr>
          <w:p w:rsidR="00F038BC" w:rsidRPr="00F038BC" w:rsidRDefault="00F038BC" w:rsidP="00F038BC">
            <w:pPr>
              <w:widowControl/>
              <w:spacing w:line="75" w:lineRule="atLeast"/>
              <w:jc w:val="center"/>
              <w:rPr>
                <w:rFonts w:ascii="宋体" w:eastAsia="宋体" w:hAnsi="宋体" w:cs="宋体"/>
                <w:kern w:val="0"/>
                <w:sz w:val="24"/>
                <w:szCs w:val="24"/>
              </w:rPr>
            </w:pPr>
            <w:r w:rsidRPr="00F038BC">
              <w:rPr>
                <w:rFonts w:ascii="黑体" w:eastAsia="黑体" w:hAnsi="宋体" w:cs="Microsoft Himalaya" w:hint="eastAsia"/>
                <w:kern w:val="24"/>
                <w:sz w:val="18"/>
                <w:szCs w:val="18"/>
              </w:rPr>
              <w:t> </w:t>
            </w:r>
          </w:p>
        </w:tc>
      </w:tr>
    </w:tbl>
    <w:p w:rsidR="00F038BC" w:rsidRPr="00F038BC" w:rsidRDefault="00F038BC" w:rsidP="00F038BC">
      <w:pPr>
        <w:widowControl/>
        <w:shd w:val="clear" w:color="auto" w:fill="FFFFFF"/>
        <w:spacing w:line="75" w:lineRule="atLeast"/>
        <w:jc w:val="left"/>
        <w:rPr>
          <w:rFonts w:ascii="宋体" w:eastAsia="宋体" w:hAnsi="宋体" w:cs="宋体"/>
          <w:kern w:val="0"/>
          <w:sz w:val="24"/>
          <w:szCs w:val="24"/>
        </w:rPr>
      </w:pPr>
      <w:r w:rsidRPr="00F038BC">
        <w:rPr>
          <w:rFonts w:ascii="宋体" w:eastAsia="宋体" w:hAnsi="宋体" w:cs="Lucida Sans Unicode" w:hint="eastAsia"/>
          <w:b/>
          <w:bCs/>
          <w:sz w:val="18"/>
          <w:szCs w:val="18"/>
        </w:rPr>
        <w:t xml:space="preserve"> </w:t>
      </w:r>
    </w:p>
    <w:p w:rsidR="00F038BC" w:rsidRPr="00F038BC" w:rsidRDefault="00F038BC" w:rsidP="00F038BC">
      <w:pPr>
        <w:widowControl/>
        <w:shd w:val="clear" w:color="auto" w:fill="FFFFFF"/>
        <w:spacing w:line="75" w:lineRule="atLeast"/>
        <w:ind w:firstLineChars="200" w:firstLine="361"/>
        <w:jc w:val="left"/>
        <w:rPr>
          <w:rFonts w:ascii="宋体" w:eastAsia="宋体" w:hAnsi="宋体" w:cs="宋体"/>
          <w:kern w:val="0"/>
          <w:sz w:val="24"/>
          <w:szCs w:val="24"/>
        </w:rPr>
      </w:pPr>
      <w:r w:rsidRPr="00F038BC">
        <w:rPr>
          <w:rFonts w:ascii="宋体" w:eastAsia="宋体" w:hAnsi="宋体" w:cs="Lucida Sans Unicode" w:hint="eastAsia"/>
          <w:b/>
          <w:bCs/>
          <w:sz w:val="18"/>
          <w:szCs w:val="18"/>
        </w:rPr>
        <w:t>【办理渠道】</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主管税务机关办税服务厅。</w:t>
      </w:r>
    </w:p>
    <w:p w:rsidR="00F038BC" w:rsidRPr="00F038BC" w:rsidRDefault="00F038BC" w:rsidP="00F038BC">
      <w:pPr>
        <w:widowControl/>
        <w:shd w:val="clear" w:color="auto" w:fill="FFFFFF"/>
        <w:spacing w:line="75" w:lineRule="atLeast"/>
        <w:ind w:firstLineChars="200" w:firstLine="361"/>
        <w:jc w:val="left"/>
        <w:rPr>
          <w:rFonts w:ascii="宋体" w:eastAsia="宋体" w:hAnsi="宋体" w:cs="宋体"/>
          <w:kern w:val="0"/>
          <w:sz w:val="24"/>
          <w:szCs w:val="24"/>
        </w:rPr>
      </w:pPr>
      <w:r w:rsidRPr="00F038BC">
        <w:rPr>
          <w:rFonts w:ascii="宋体" w:eastAsia="宋体" w:hAnsi="宋体" w:cs="Lucida Sans Unicode" w:hint="eastAsia"/>
          <w:b/>
          <w:bCs/>
          <w:sz w:val="18"/>
          <w:szCs w:val="18"/>
          <w:highlight w:val="red"/>
        </w:rPr>
        <w:t>【办理流程】</w:t>
      </w:r>
    </w:p>
    <w:p w:rsidR="00F038BC" w:rsidRPr="00F038BC" w:rsidRDefault="00F038BC" w:rsidP="00F038BC">
      <w:pPr>
        <w:widowControl/>
        <w:shd w:val="clear" w:color="auto" w:fill="FFFFFF"/>
        <w:spacing w:line="75" w:lineRule="atLeast"/>
        <w:ind w:firstLineChars="200" w:firstLine="361"/>
        <w:jc w:val="left"/>
        <w:rPr>
          <w:rFonts w:ascii="宋体" w:eastAsia="宋体" w:hAnsi="宋体" w:cs="宋体"/>
          <w:kern w:val="0"/>
          <w:sz w:val="24"/>
          <w:szCs w:val="24"/>
        </w:rPr>
      </w:pPr>
      <w:r w:rsidRPr="00F038BC">
        <w:rPr>
          <w:rFonts w:ascii="宋体" w:eastAsia="宋体" w:hAnsi="宋体" w:cs="Lucida Sans Unicode" w:hint="eastAsia"/>
          <w:b/>
          <w:bCs/>
          <w:sz w:val="18"/>
          <w:szCs w:val="18"/>
        </w:rPr>
        <w:t>【办理时间】</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工作时间，具体可在国家税务总局广西壮族自治区税务局门户网站查询，或拨打12366查询。</w:t>
      </w:r>
    </w:p>
    <w:p w:rsidR="00F038BC" w:rsidRPr="00F038BC" w:rsidRDefault="00F038BC" w:rsidP="00F038BC">
      <w:pPr>
        <w:widowControl/>
        <w:shd w:val="clear" w:color="auto" w:fill="FFFFFF"/>
        <w:spacing w:line="75" w:lineRule="atLeast"/>
        <w:ind w:firstLineChars="200" w:firstLine="361"/>
        <w:jc w:val="left"/>
        <w:rPr>
          <w:rFonts w:ascii="宋体" w:eastAsia="宋体" w:hAnsi="宋体" w:cs="宋体"/>
          <w:kern w:val="0"/>
          <w:sz w:val="24"/>
          <w:szCs w:val="24"/>
        </w:rPr>
      </w:pPr>
      <w:r w:rsidRPr="00F038BC">
        <w:rPr>
          <w:rFonts w:ascii="宋体" w:eastAsia="宋体" w:hAnsi="宋体" w:cs="Lucida Sans Unicode" w:hint="eastAsia"/>
          <w:b/>
          <w:bCs/>
          <w:sz w:val="18"/>
          <w:szCs w:val="18"/>
        </w:rPr>
        <w:t>【办理时限】</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资料齐全、符合法定形式、填写内容完整的，税务机关受理后即时办结。</w:t>
      </w:r>
    </w:p>
    <w:p w:rsidR="00F038BC" w:rsidRPr="00F038BC" w:rsidRDefault="00F038BC" w:rsidP="00F038BC">
      <w:pPr>
        <w:widowControl/>
        <w:shd w:val="clear" w:color="auto" w:fill="FFFFFF"/>
        <w:spacing w:line="75" w:lineRule="atLeast"/>
        <w:ind w:firstLineChars="200" w:firstLine="361"/>
        <w:jc w:val="left"/>
        <w:rPr>
          <w:rFonts w:ascii="宋体" w:eastAsia="宋体" w:hAnsi="宋体" w:cs="宋体"/>
          <w:kern w:val="0"/>
          <w:sz w:val="24"/>
          <w:szCs w:val="24"/>
        </w:rPr>
      </w:pPr>
      <w:r w:rsidRPr="00F038BC">
        <w:rPr>
          <w:rFonts w:ascii="宋体" w:eastAsia="宋体" w:hAnsi="宋体" w:cs="Lucida Sans Unicode" w:hint="eastAsia"/>
          <w:b/>
          <w:bCs/>
          <w:sz w:val="18"/>
          <w:szCs w:val="18"/>
        </w:rPr>
        <w:t>【办理结果】</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税务机关反馈《中华人民共和国企业年度关联业务往来报告表(2016年版)》</w:t>
      </w:r>
    </w:p>
    <w:p w:rsidR="00F038BC" w:rsidRPr="00F038BC" w:rsidRDefault="00F038BC" w:rsidP="00F038BC">
      <w:pPr>
        <w:widowControl/>
        <w:shd w:val="clear" w:color="auto" w:fill="FFFFFF"/>
        <w:spacing w:line="75" w:lineRule="atLeast"/>
        <w:ind w:firstLineChars="200" w:firstLine="361"/>
        <w:jc w:val="left"/>
        <w:rPr>
          <w:rFonts w:ascii="宋体" w:eastAsia="宋体" w:hAnsi="宋体" w:cs="宋体"/>
          <w:kern w:val="0"/>
          <w:sz w:val="24"/>
          <w:szCs w:val="24"/>
        </w:rPr>
      </w:pPr>
      <w:r w:rsidRPr="00F038BC">
        <w:rPr>
          <w:rFonts w:ascii="宋体" w:eastAsia="宋体" w:hAnsi="宋体" w:cs="Lucida Sans Unicode" w:hint="eastAsia"/>
          <w:b/>
          <w:bCs/>
          <w:sz w:val="18"/>
          <w:szCs w:val="18"/>
        </w:rPr>
        <w:t>【联系电话】</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联系电话可在国家税务总局广西壮族自治区税务局门户网站查询，或拨打12366查询。</w:t>
      </w:r>
    </w:p>
    <w:p w:rsidR="00F038BC" w:rsidRPr="00F038BC" w:rsidRDefault="00F038BC" w:rsidP="00F038BC">
      <w:pPr>
        <w:widowControl/>
        <w:shd w:val="clear" w:color="auto" w:fill="FFFFFF"/>
        <w:spacing w:line="75" w:lineRule="atLeast"/>
        <w:ind w:firstLineChars="200" w:firstLine="361"/>
        <w:jc w:val="left"/>
        <w:rPr>
          <w:rFonts w:ascii="宋体" w:eastAsia="宋体" w:hAnsi="宋体" w:cs="宋体"/>
          <w:kern w:val="0"/>
          <w:sz w:val="24"/>
          <w:szCs w:val="24"/>
        </w:rPr>
      </w:pPr>
      <w:r w:rsidRPr="00F038BC">
        <w:rPr>
          <w:rFonts w:ascii="宋体" w:eastAsia="宋体" w:hAnsi="宋体" w:cs="Lucida Sans Unicode" w:hint="eastAsia"/>
          <w:b/>
          <w:bCs/>
          <w:sz w:val="18"/>
          <w:szCs w:val="18"/>
        </w:rPr>
        <w:t>【纳税人注意事项】</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1．纳税人对报送材料的真实性和合法性承担责任。</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2．纳税人在资料完整且符合法定受理条件的前提下，最多只需要到税务机关跑一次。</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3.企业应当按纳税年度准备并按税务机关要求提供其关联交易的同期资料。同期资料包括主体文档、本地文档和特殊事项文档。</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4．企业符合下列条件之一的，应当准备主体文档:</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（1）年度发生跨境关联交易，且合并该企业财务报表的最终控股企业所属企业集团已准备主体文</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（2）年度关联交易总额超过10亿元。</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5．企业年度关联交易金额符合下列条件之一的，应当准备本地文档:</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（1）有形资产所有权转让金额（来料加工业务按照年度进出口报关价格计算）超过2亿元。</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（2）金融资产转让金额超过1亿元。</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（3）无形资产所有权转让金额超过1亿元。</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（4）其他关联交易金额合计超过4000万元。</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6．特殊事项文档包括成本分摊协议特殊事项文档和资本弱化特殊事项文档。</w:t>
      </w:r>
    </w:p>
    <w:p w:rsidR="00F038BC" w:rsidRPr="00F038BC" w:rsidRDefault="00F038BC" w:rsidP="00F038BC">
      <w:pPr>
        <w:widowControl/>
        <w:shd w:val="clear" w:color="auto" w:fill="FFFFFF"/>
        <w:spacing w:line="75" w:lineRule="atLeast"/>
        <w:ind w:firstLineChars="400" w:firstLine="720"/>
        <w:jc w:val="left"/>
        <w:rPr>
          <w:rFonts w:ascii="宋体" w:eastAsia="宋体" w:hAnsi="宋体" w:cs="宋体"/>
          <w:kern w:val="0"/>
          <w:sz w:val="24"/>
          <w:szCs w:val="24"/>
        </w:rPr>
      </w:pPr>
      <w:r w:rsidRPr="00F038BC">
        <w:rPr>
          <w:rFonts w:ascii="宋体" w:eastAsia="宋体" w:hAnsi="宋体" w:cs="Lucida Sans Unicode" w:hint="eastAsia"/>
          <w:sz w:val="18"/>
          <w:szCs w:val="18"/>
        </w:rPr>
        <w:lastRenderedPageBreak/>
        <w:t>企业签订或者执行成本分摊协议的，应当准备成本分摊协议特殊事项文档。</w:t>
      </w:r>
    </w:p>
    <w:p w:rsidR="00F038BC" w:rsidRPr="00F038BC" w:rsidRDefault="00F038BC" w:rsidP="00F038BC">
      <w:pPr>
        <w:widowControl/>
        <w:shd w:val="clear" w:color="auto" w:fill="FFFFFF"/>
        <w:spacing w:line="75" w:lineRule="atLeast"/>
        <w:ind w:firstLineChars="400" w:firstLine="720"/>
        <w:jc w:val="left"/>
        <w:rPr>
          <w:rFonts w:ascii="宋体" w:eastAsia="宋体" w:hAnsi="宋体" w:cs="宋体"/>
          <w:kern w:val="0"/>
          <w:sz w:val="24"/>
          <w:szCs w:val="24"/>
        </w:rPr>
      </w:pPr>
      <w:r w:rsidRPr="00F038BC">
        <w:rPr>
          <w:rFonts w:ascii="宋体" w:eastAsia="宋体" w:hAnsi="宋体" w:cs="Lucida Sans Unicode" w:hint="eastAsia"/>
          <w:sz w:val="18"/>
          <w:szCs w:val="18"/>
        </w:rPr>
        <w:t>企业关联债资比例超过标准比例需要说明符合独立交易原则的，应当准备资本弱化特殊事项文档。</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7．企业执行预约定价安排的，可以不准备预约定价安排涉及关联交易的本地文档和特殊事项文档，且关联交易金额不计入规定的关联交易金额范围。</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8.主体文档应当在企业集团最终控股企业会计年度终了之日起12个月内准备完毕；本地文档和特殊事项文档应当在关联交易发生年度次年6月30日之前准备完毕。同期资料应当自税务机关要求之日起30日内提供。</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9．企业仅与境内关联方发生关联交易的，可以不准备同期资料。</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10．企业因不可抗力无法按期提供同期资料的，应当在不可抗力消除后30日内提供同期资料。</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11.办税服务厅地址、电子税务局网址，可在广西壮族自治区税务局门户网站或拨打12366查询。</w:t>
      </w:r>
    </w:p>
    <w:p w:rsidR="00F038BC" w:rsidRPr="00F038BC" w:rsidRDefault="00F038BC" w:rsidP="00F038BC">
      <w:pPr>
        <w:widowControl/>
        <w:shd w:val="clear" w:color="auto" w:fill="FFFFFF"/>
        <w:spacing w:line="75" w:lineRule="atLeast"/>
        <w:ind w:firstLineChars="200" w:firstLine="361"/>
        <w:jc w:val="left"/>
        <w:rPr>
          <w:rFonts w:ascii="宋体" w:eastAsia="宋体" w:hAnsi="宋体" w:cs="宋体"/>
          <w:kern w:val="0"/>
          <w:sz w:val="24"/>
          <w:szCs w:val="24"/>
        </w:rPr>
      </w:pPr>
      <w:bookmarkStart w:id="0" w:name="falv"/>
      <w:r w:rsidRPr="00F038BC">
        <w:rPr>
          <w:rFonts w:ascii="宋体" w:eastAsia="宋体" w:hAnsi="宋体" w:cs="Lucida Sans Unicode" w:hint="eastAsia"/>
          <w:b/>
          <w:bCs/>
          <w:sz w:val="18"/>
          <w:szCs w:val="18"/>
        </w:rPr>
        <w:t>【政策依据】</w:t>
      </w:r>
      <w:bookmarkEnd w:id="0"/>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1．《中华人民共和国企业所得税法》</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2．《中华人民共和国企业所得税法实施条例》</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3.《国家税务总局关于明确同期资料主体文档提供及管理有关事项的公告》（国家税务总局公告2018年第14号）</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4.《国家税务总局关于完善关联申报和同期资料管理有关事项的公告》（国家税务总局公告2016年第42号）</w:t>
      </w:r>
    </w:p>
    <w:p w:rsidR="00F038BC" w:rsidRPr="00F038BC" w:rsidRDefault="00F038BC" w:rsidP="00F038BC">
      <w:pPr>
        <w:widowControl/>
        <w:shd w:val="clear" w:color="auto" w:fill="FFFFFF"/>
        <w:spacing w:line="75" w:lineRule="atLeast"/>
        <w:ind w:firstLineChars="200" w:firstLine="361"/>
        <w:jc w:val="left"/>
        <w:rPr>
          <w:rFonts w:ascii="宋体" w:eastAsia="宋体" w:hAnsi="宋体" w:cs="宋体"/>
          <w:kern w:val="0"/>
          <w:sz w:val="24"/>
          <w:szCs w:val="24"/>
        </w:rPr>
      </w:pPr>
      <w:r w:rsidRPr="00F038BC">
        <w:rPr>
          <w:rFonts w:ascii="宋体" w:eastAsia="宋体" w:hAnsi="宋体" w:cs="Lucida Sans Unicode" w:hint="eastAsia"/>
          <w:b/>
          <w:bCs/>
          <w:sz w:val="18"/>
          <w:szCs w:val="18"/>
        </w:rPr>
        <w:t>【收费标准】</w:t>
      </w:r>
    </w:p>
    <w:p w:rsidR="00F038BC" w:rsidRPr="00F038BC" w:rsidRDefault="00F038BC" w:rsidP="00F038BC">
      <w:pPr>
        <w:widowControl/>
        <w:shd w:val="clear" w:color="auto" w:fill="FFFFFF"/>
        <w:spacing w:line="75" w:lineRule="atLeast"/>
        <w:ind w:firstLineChars="200" w:firstLine="360"/>
        <w:jc w:val="left"/>
        <w:rPr>
          <w:rFonts w:ascii="宋体" w:eastAsia="宋体" w:hAnsi="宋体" w:cs="宋体"/>
          <w:kern w:val="0"/>
          <w:sz w:val="24"/>
          <w:szCs w:val="24"/>
        </w:rPr>
      </w:pPr>
      <w:r w:rsidRPr="00F038BC">
        <w:rPr>
          <w:rFonts w:ascii="宋体" w:eastAsia="宋体" w:hAnsi="宋体" w:cs="Lucida Sans Unicode" w:hint="eastAsia"/>
          <w:sz w:val="18"/>
          <w:szCs w:val="18"/>
        </w:rPr>
        <w:t>无收费</w:t>
      </w:r>
    </w:p>
    <w:p w:rsidR="00676A29" w:rsidRDefault="00F038BC"/>
    <w:sectPr w:rsidR="00676A29" w:rsidSect="00C00A8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38BC"/>
    <w:rsid w:val="00351409"/>
    <w:rsid w:val="0069768C"/>
    <w:rsid w:val="00AA09A7"/>
    <w:rsid w:val="00C00A88"/>
    <w:rsid w:val="00CF69CA"/>
    <w:rsid w:val="00F038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A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5542005">
      <w:bodyDiv w:val="1"/>
      <w:marLeft w:val="0"/>
      <w:marRight w:val="0"/>
      <w:marTop w:val="0"/>
      <w:marBottom w:val="0"/>
      <w:divBdr>
        <w:top w:val="none" w:sz="0" w:space="0" w:color="auto"/>
        <w:left w:val="none" w:sz="0" w:space="0" w:color="auto"/>
        <w:bottom w:val="none" w:sz="0" w:space="0" w:color="auto"/>
        <w:right w:val="none" w:sz="0" w:space="0" w:color="auto"/>
      </w:divBdr>
      <w:divsChild>
        <w:div w:id="1795831848">
          <w:marLeft w:val="0"/>
          <w:marRight w:val="0"/>
          <w:marTop w:val="270"/>
          <w:marBottom w:val="240"/>
          <w:divBdr>
            <w:top w:val="single" w:sz="6" w:space="8" w:color="D8D8D6"/>
            <w:left w:val="single" w:sz="6" w:space="8" w:color="D8D8D6"/>
            <w:bottom w:val="single" w:sz="6" w:space="8" w:color="D8D8D6"/>
            <w:right w:val="single" w:sz="6" w:space="8" w:color="D8D8D6"/>
          </w:divBdr>
          <w:divsChild>
            <w:div w:id="15958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196</Words>
  <Characters>1119</Characters>
  <Application>Microsoft Office Word</Application>
  <DocSecurity>0</DocSecurity>
  <Lines>9</Lines>
  <Paragraphs>2</Paragraphs>
  <ScaleCrop>false</ScaleCrop>
  <Company/>
  <LinksUpToDate>false</LinksUpToDate>
  <CharactersWithSpaces>1313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2019-09-30T03:30:00Z</dcterms:created>
  <dcterms:modified xsi:type="dcterms:W3CDTF">2019-09-30T03:30:00Z</dcterms:modified>
</cp:coreProperties>
</file>